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F15E" w14:textId="77777777" w:rsidR="00B9034D" w:rsidRPr="005748B5" w:rsidRDefault="00B9034D" w:rsidP="00B90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8B5">
        <w:rPr>
          <w:rFonts w:ascii="Times New Roman" w:hAnsi="Times New Roman" w:cs="Times New Roman"/>
          <w:b/>
          <w:sz w:val="24"/>
          <w:szCs w:val="24"/>
        </w:rPr>
        <w:t xml:space="preserve">Colorado T&amp;E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Statutory Revisions Committee </w:t>
      </w:r>
      <w:r w:rsidRPr="005748B5">
        <w:rPr>
          <w:rFonts w:ascii="Times New Roman" w:hAnsi="Times New Roman" w:cs="Times New Roman"/>
          <w:b/>
          <w:sz w:val="24"/>
          <w:szCs w:val="24"/>
        </w:rPr>
        <w:t>Subcommittee on the</w:t>
      </w:r>
    </w:p>
    <w:p w14:paraId="3F368DC6" w14:textId="77777777" w:rsidR="00B9034D" w:rsidRDefault="00B9034D" w:rsidP="00B90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Colorado Uniform Electronic Wills Act</w:t>
      </w:r>
    </w:p>
    <w:p w14:paraId="2AE9AA9D" w14:textId="77777777" w:rsidR="00B9034D" w:rsidRDefault="00B9034D" w:rsidP="00B90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 Herb E. Tucker </w:t>
      </w:r>
    </w:p>
    <w:p w14:paraId="61432006" w14:textId="38C8F9BE" w:rsidR="00B9034D" w:rsidRDefault="00B9034D" w:rsidP="00B90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1334E">
        <w:rPr>
          <w:rFonts w:ascii="Times New Roman" w:hAnsi="Times New Roman" w:cs="Times New Roman"/>
          <w:b/>
          <w:noProof/>
          <w:sz w:val="24"/>
          <w:szCs w:val="24"/>
        </w:rPr>
        <w:t>August 27, 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8"/>
        <w:gridCol w:w="13"/>
        <w:gridCol w:w="6399"/>
      </w:tblGrid>
      <w:tr w:rsidR="00B9034D" w14:paraId="5B4BEF8D" w14:textId="77777777" w:rsidTr="0017148F">
        <w:tc>
          <w:tcPr>
            <w:tcW w:w="2938" w:type="dxa"/>
          </w:tcPr>
          <w:p w14:paraId="673081F6" w14:textId="0E9C0DCF" w:rsidR="00B9034D" w:rsidRPr="005748B5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UEWA Section</w:t>
            </w:r>
          </w:p>
        </w:tc>
        <w:tc>
          <w:tcPr>
            <w:tcW w:w="6412" w:type="dxa"/>
            <w:gridSpan w:val="2"/>
          </w:tcPr>
          <w:p w14:paraId="71080244" w14:textId="2F49478C" w:rsidR="00B9034D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Prefatory Note</w:t>
            </w:r>
          </w:p>
        </w:tc>
      </w:tr>
      <w:tr w:rsidR="00B9034D" w14:paraId="2627E898" w14:textId="77777777" w:rsidTr="0017148F">
        <w:tc>
          <w:tcPr>
            <w:tcW w:w="2938" w:type="dxa"/>
          </w:tcPr>
          <w:p w14:paraId="0B31D003" w14:textId="77777777" w:rsidR="00B9034D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Title</w:t>
            </w:r>
          </w:p>
        </w:tc>
        <w:tc>
          <w:tcPr>
            <w:tcW w:w="6412" w:type="dxa"/>
            <w:gridSpan w:val="2"/>
          </w:tcPr>
          <w:p w14:paraId="1105CA20" w14:textId="2BD54A9E" w:rsidR="00B9034D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9034D" w14:paraId="470E4562" w14:textId="77777777" w:rsidTr="0017148F">
        <w:tc>
          <w:tcPr>
            <w:tcW w:w="2938" w:type="dxa"/>
          </w:tcPr>
          <w:p w14:paraId="6412E72F" w14:textId="77777777" w:rsidR="00B9034D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UEWA Statutory Language</w:t>
            </w:r>
          </w:p>
        </w:tc>
        <w:tc>
          <w:tcPr>
            <w:tcW w:w="6412" w:type="dxa"/>
            <w:gridSpan w:val="2"/>
          </w:tcPr>
          <w:p w14:paraId="443BD95B" w14:textId="7B729B59" w:rsidR="00B9034D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9034D" w14:paraId="0B3A333C" w14:textId="77777777" w:rsidTr="0017148F">
        <w:tc>
          <w:tcPr>
            <w:tcW w:w="2938" w:type="dxa"/>
          </w:tcPr>
          <w:p w14:paraId="0988ABD4" w14:textId="77777777" w:rsidR="00B9034D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Uniform Law Commission Comment</w:t>
            </w:r>
          </w:p>
        </w:tc>
        <w:tc>
          <w:tcPr>
            <w:tcW w:w="6412" w:type="dxa"/>
            <w:gridSpan w:val="2"/>
          </w:tcPr>
          <w:p w14:paraId="5B3494B8" w14:textId="520F40F1" w:rsidR="00B9034D" w:rsidRPr="00F77AAD" w:rsidRDefault="00C53877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 below for UEWA Prefatory Note</w:t>
            </w:r>
          </w:p>
        </w:tc>
      </w:tr>
      <w:tr w:rsidR="00B9034D" w14:paraId="76BB9E97" w14:textId="77777777" w:rsidTr="0017148F">
        <w:trPr>
          <w:trHeight w:val="2780"/>
        </w:trPr>
        <w:tc>
          <w:tcPr>
            <w:tcW w:w="2938" w:type="dxa"/>
          </w:tcPr>
          <w:p w14:paraId="52CC36D9" w14:textId="77777777" w:rsidR="00B9034D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Colorado Law</w:t>
            </w:r>
          </w:p>
          <w:p w14:paraId="00495286" w14:textId="76BE8F34" w:rsidR="00B9034D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gridSpan w:val="2"/>
          </w:tcPr>
          <w:p w14:paraId="6F039016" w14:textId="053E64EA" w:rsidR="00B9034D" w:rsidRPr="004C4FBC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9034D" w:rsidRPr="00AF1254" w14:paraId="710C6CAF" w14:textId="77777777" w:rsidTr="0017148F">
        <w:tc>
          <w:tcPr>
            <w:tcW w:w="2951" w:type="dxa"/>
            <w:gridSpan w:val="2"/>
          </w:tcPr>
          <w:p w14:paraId="7C79EA0B" w14:textId="77777777" w:rsidR="00B9034D" w:rsidRPr="00AF1254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254">
              <w:rPr>
                <w:rFonts w:ascii="Times New Roman" w:hAnsi="Times New Roman" w:cs="Times New Roman"/>
                <w:sz w:val="24"/>
                <w:szCs w:val="24"/>
              </w:rPr>
              <w:t>Colorado Subcommittee Comment</w:t>
            </w:r>
          </w:p>
        </w:tc>
        <w:tc>
          <w:tcPr>
            <w:tcW w:w="6399" w:type="dxa"/>
          </w:tcPr>
          <w:p w14:paraId="6C14B263" w14:textId="77777777" w:rsidR="00B9034D" w:rsidRPr="00AF1254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4D" w:rsidRPr="00AF1254" w14:paraId="0BC6297C" w14:textId="77777777" w:rsidTr="0017148F">
        <w:tc>
          <w:tcPr>
            <w:tcW w:w="2951" w:type="dxa"/>
            <w:gridSpan w:val="2"/>
          </w:tcPr>
          <w:p w14:paraId="04B264FF" w14:textId="77777777" w:rsidR="00B9034D" w:rsidRPr="00AF1254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254">
              <w:rPr>
                <w:rFonts w:ascii="Times New Roman" w:hAnsi="Times New Roman" w:cs="Times New Roman"/>
                <w:sz w:val="24"/>
                <w:szCs w:val="24"/>
              </w:rPr>
              <w:t>Colorado Subcommittee Recommendation</w:t>
            </w:r>
          </w:p>
        </w:tc>
        <w:tc>
          <w:tcPr>
            <w:tcW w:w="6399" w:type="dxa"/>
          </w:tcPr>
          <w:p w14:paraId="4AD94202" w14:textId="77777777" w:rsidR="00B9034D" w:rsidRPr="00AF1254" w:rsidRDefault="00B9034D" w:rsidP="00B903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EBEA8" w14:textId="77777777" w:rsidR="00C53877" w:rsidRDefault="00C53877" w:rsidP="00C53877">
      <w:pPr>
        <w:tabs>
          <w:tab w:val="right" w:pos="216"/>
          <w:tab w:val="left" w:pos="3096"/>
        </w:tabs>
        <w:spacing w:before="8" w:line="276" w:lineRule="exact"/>
        <w:ind w:left="144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</w:rPr>
      </w:pPr>
    </w:p>
    <w:p w14:paraId="5B326821" w14:textId="2E3B3D63" w:rsidR="00C53877" w:rsidRDefault="00C53877" w:rsidP="00C53877">
      <w:pPr>
        <w:tabs>
          <w:tab w:val="right" w:pos="216"/>
          <w:tab w:val="left" w:pos="3096"/>
        </w:tabs>
        <w:spacing w:before="8" w:line="240" w:lineRule="auto"/>
        <w:ind w:left="144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UNIFORM ELECTRONIC WILLS ACT</w:t>
      </w:r>
    </w:p>
    <w:p w14:paraId="37D1A30A" w14:textId="744D65F9" w:rsidR="00C53877" w:rsidRDefault="00C53877" w:rsidP="00BF1620">
      <w:pPr>
        <w:tabs>
          <w:tab w:val="right" w:pos="216"/>
          <w:tab w:val="left" w:pos="4464"/>
        </w:tabs>
        <w:spacing w:before="276" w:line="240" w:lineRule="auto"/>
        <w:ind w:left="144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Prefatory Note</w:t>
      </w:r>
    </w:p>
    <w:p w14:paraId="72CE824F" w14:textId="30902F1D" w:rsidR="00C53877" w:rsidRDefault="00C53877" w:rsidP="00C53877">
      <w:pPr>
        <w:tabs>
          <w:tab w:val="right" w:pos="216"/>
          <w:tab w:val="left" w:pos="720"/>
        </w:tabs>
        <w:spacing w:before="276" w:line="240" w:lineRule="auto"/>
        <w:ind w:lef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Electronic Wills Under Existing Statutes. </w:t>
      </w:r>
      <w:r>
        <w:rPr>
          <w:rFonts w:ascii="Times New Roman" w:eastAsia="Times New Roman" w:hAnsi="Times New Roman"/>
          <w:color w:val="000000"/>
          <w:sz w:val="24"/>
        </w:rPr>
        <w:t>People increasingly turn to electronic tools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 accomplish life’s tasks, including legal tasks. They use computers to execute electronically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variety of estate planning documents, including beneficiary designations and powers of attorney.</w:t>
      </w:r>
      <w:r>
        <w:rPr>
          <w:rFonts w:eastAsia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Some people assume that they will be able to execute all documents electronically, and they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prefer to do so for efficiency, cost savings, or other reasons. Indeed, a few cases involving wills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executed on electronic devices have already surfaced.</w:t>
      </w:r>
    </w:p>
    <w:p w14:paraId="7B2F2342" w14:textId="6A40A926" w:rsidR="00C53877" w:rsidRPr="00C53877" w:rsidRDefault="00C53877" w:rsidP="00C53877">
      <w:pPr>
        <w:spacing w:line="240" w:lineRule="auto"/>
        <w:ind w:left="144" w:firstLine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An early case involved a testator’s electronic signature. In </w:t>
      </w:r>
      <w:r>
        <w:rPr>
          <w:rFonts w:ascii="Times New Roman" w:eastAsia="Times New Roman" w:hAnsi="Times New Roman"/>
          <w:i/>
          <w:color w:val="000000"/>
          <w:sz w:val="24"/>
        </w:rPr>
        <w:t>Taylor v. Holt</w:t>
      </w:r>
      <w:r>
        <w:rPr>
          <w:rFonts w:ascii="Times New Roman" w:eastAsia="Times New Roman" w:hAnsi="Times New Roman"/>
          <w:color w:val="000000"/>
          <w:sz w:val="24"/>
        </w:rPr>
        <w:t>, 134 S.W.3d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830 (Tenn. 2003), the testator affixed a computer-generated signature at the end of the electronic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text of his will and then printed the will. Two witnesses watched him affix the computer-generated signature to the will and then signed the paper copy of the will. The court had no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trouble concluding that the electronic signature qualified as the testator’s signature. The statute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defined signature to include a “symbol or methodology executed or adopted by a party with</w:t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intention to authenticate a writing . . . .” T</w:t>
      </w:r>
      <w:r>
        <w:rPr>
          <w:rFonts w:ascii="Times New Roman" w:eastAsia="Times New Roman" w:hAnsi="Times New Roman"/>
          <w:color w:val="000000"/>
          <w:sz w:val="19"/>
        </w:rPr>
        <w:t>ENN</w:t>
      </w:r>
      <w:r>
        <w:rPr>
          <w:rFonts w:ascii="Times New Roman" w:eastAsia="Times New Roman" w:hAnsi="Times New Roman"/>
          <w:color w:val="000000"/>
          <w:sz w:val="24"/>
        </w:rPr>
        <w:t>. C</w:t>
      </w:r>
      <w:r>
        <w:rPr>
          <w:rFonts w:ascii="Times New Roman" w:eastAsia="Times New Roman" w:hAnsi="Times New Roman"/>
          <w:color w:val="000000"/>
          <w:sz w:val="19"/>
        </w:rPr>
        <w:t xml:space="preserve">ODE </w:t>
      </w:r>
      <w:r>
        <w:rPr>
          <w:rFonts w:ascii="Times New Roman" w:eastAsia="Times New Roman" w:hAnsi="Times New Roman"/>
          <w:color w:val="000000"/>
          <w:sz w:val="24"/>
        </w:rPr>
        <w:t>A</w:t>
      </w:r>
      <w:r>
        <w:rPr>
          <w:rFonts w:ascii="Times New Roman" w:eastAsia="Times New Roman" w:hAnsi="Times New Roman"/>
          <w:color w:val="000000"/>
          <w:sz w:val="19"/>
        </w:rPr>
        <w:t>NN</w:t>
      </w:r>
      <w:r>
        <w:rPr>
          <w:rFonts w:ascii="Times New Roman" w:eastAsia="Times New Roman" w:hAnsi="Times New Roman"/>
          <w:color w:val="000000"/>
          <w:sz w:val="24"/>
        </w:rPr>
        <w:t xml:space="preserve">. § 1-3-105(27) (1999). In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Taylor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>will was not attested or stored electronically, but the case indicates another situation in which the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use of electronic tools can lead to litigation.</w:t>
      </w:r>
    </w:p>
    <w:p w14:paraId="0541E09D" w14:textId="3E7E0A77" w:rsidR="00C53877" w:rsidRDefault="00C53877" w:rsidP="001A5CA8">
      <w:pPr>
        <w:tabs>
          <w:tab w:val="right" w:pos="216"/>
          <w:tab w:val="left" w:pos="720"/>
        </w:tabs>
        <w:spacing w:line="240" w:lineRule="auto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In a more recent Ohio case, </w:t>
      </w:r>
      <w:r>
        <w:rPr>
          <w:rFonts w:ascii="Times New Roman" w:eastAsia="Times New Roman" w:hAnsi="Times New Roman"/>
          <w:i/>
          <w:color w:val="000000"/>
          <w:sz w:val="24"/>
        </w:rPr>
        <w:t>In re Estate of Javier Castro</w:t>
      </w:r>
      <w:r>
        <w:rPr>
          <w:rFonts w:ascii="Times New Roman" w:eastAsia="Times New Roman" w:hAnsi="Times New Roman"/>
          <w:color w:val="000000"/>
          <w:sz w:val="24"/>
        </w:rPr>
        <w:t>, Case No. 2013ES00140, Court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 Common Pleas Probate Division, Lorain County, Ohio (June 19, 2013), the testator dictated a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will to his brother, who wrote the will with a stylus on a Samsung Galaxy Tablet. The testator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then signed the will on the tablet, using the stylus, as did the two witnesses. The probate court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had to decide whether the electronic writing on the tablet met the statutory requirement that a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will be “in writing.” The court concluded that it did and admitted the will to probate. In </w:t>
      </w:r>
      <w:r>
        <w:rPr>
          <w:rFonts w:ascii="Times New Roman" w:eastAsia="Times New Roman" w:hAnsi="Times New Roman"/>
          <w:i/>
          <w:color w:val="000000"/>
          <w:sz w:val="24"/>
        </w:rPr>
        <w:t>Castro</w:t>
      </w:r>
      <w:r>
        <w:rPr>
          <w:rFonts w:ascii="Times New Roman" w:eastAsia="Times New Roman" w:hAnsi="Times New Roman"/>
          <w:color w:val="000000"/>
          <w:sz w:val="24"/>
        </w:rPr>
        <w:t>,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 testator and all witnesses were in the same room and signed using a stylus rather than typing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 signature. The Uniform Electronic Wills Act (“the act”) gives effect to such a will and clarifies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that the will meets the writing requirement. In </w:t>
      </w:r>
      <w:r>
        <w:rPr>
          <w:rFonts w:ascii="Times New Roman" w:eastAsia="Times New Roman" w:hAnsi="Times New Roman"/>
          <w:i/>
          <w:color w:val="000000"/>
          <w:sz w:val="24"/>
        </w:rPr>
        <w:t>Castro</w:t>
      </w:r>
      <w:r>
        <w:rPr>
          <w:rFonts w:ascii="Times New Roman" w:eastAsia="Times New Roman" w:hAnsi="Times New Roman"/>
          <w:color w:val="000000"/>
          <w:sz w:val="24"/>
        </w:rPr>
        <w:t>, the testator and witnesses had not signed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 affidavit, so the will was not self-proving. Under the act, if a notary is present with the testato</w:t>
      </w:r>
      <w:r w:rsidR="001A5CA8">
        <w:rPr>
          <w:rFonts w:ascii="Times New Roman" w:eastAsia="Times New Roman" w:hAnsi="Times New Roman"/>
          <w:color w:val="000000"/>
          <w:sz w:val="24"/>
        </w:rPr>
        <w:t xml:space="preserve">r </w:t>
      </w:r>
      <w:r>
        <w:rPr>
          <w:rFonts w:ascii="Times New Roman" w:eastAsia="Times New Roman" w:hAnsi="Times New Roman"/>
          <w:color w:val="000000"/>
          <w:sz w:val="24"/>
        </w:rPr>
        <w:t>and witnesses, the will can be made self-proving.</w:t>
      </w:r>
    </w:p>
    <w:p w14:paraId="15870244" w14:textId="15799275" w:rsidR="00C53877" w:rsidRDefault="00C53877" w:rsidP="001A5CA8">
      <w:pPr>
        <w:spacing w:before="3" w:line="240" w:lineRule="auto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A 2018 case illustrates the most common electronic will scenario: that of a will typed o</w:t>
      </w:r>
      <w:r w:rsidR="001A5CA8">
        <w:rPr>
          <w:rFonts w:ascii="Times New Roman" w:eastAsia="Times New Roman" w:hAnsi="Times New Roman"/>
          <w:color w:val="000000"/>
          <w:sz w:val="24"/>
        </w:rPr>
        <w:t xml:space="preserve">r </w:t>
      </w:r>
      <w:r>
        <w:rPr>
          <w:rFonts w:ascii="Times New Roman" w:eastAsia="Times New Roman" w:hAnsi="Times New Roman"/>
          <w:color w:val="000000"/>
          <w:sz w:val="24"/>
        </w:rPr>
        <w:t>recorded on an electronic device. Shortly before his death by suicide, Duane Horton (a 21-year-old man) handwrote a journal entry stating that a document titled “Last Note” was on his phone.</w:t>
      </w:r>
      <w:r w:rsidR="001A5CA8">
        <w:rPr>
          <w:rFonts w:eastAsia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The journal entry provided instructions for accessing the note, and he left the journal and phone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 his room. The Last Note included apologies and personal comments relating to his suicide as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well as directions relating to his property. Mr. Horton typed his name at the end of the document.</w:t>
      </w:r>
      <w:r w:rsidR="001A5CA8">
        <w:rPr>
          <w:rFonts w:eastAsia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After considering the text of the document and the circumstances surrounding Mr. Horton’s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death, the probate and appeals court concluded that the note was a will under Michigan’s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harmless error statute. </w:t>
      </w:r>
      <w:r>
        <w:rPr>
          <w:rFonts w:ascii="Times New Roman" w:eastAsia="Times New Roman" w:hAnsi="Times New Roman"/>
          <w:i/>
          <w:color w:val="000000"/>
          <w:sz w:val="24"/>
        </w:rPr>
        <w:t>In re Estate of Horton</w:t>
      </w:r>
      <w:r>
        <w:rPr>
          <w:rFonts w:ascii="Times New Roman" w:eastAsia="Times New Roman" w:hAnsi="Times New Roman"/>
          <w:color w:val="000000"/>
          <w:sz w:val="24"/>
        </w:rPr>
        <w:t>, 925 N.W. 2d 207 (2018).</w:t>
      </w:r>
    </w:p>
    <w:p w14:paraId="3164C985" w14:textId="57CAE4E2" w:rsidR="00C53877" w:rsidRDefault="00C53877" w:rsidP="001A5CA8">
      <w:pPr>
        <w:spacing w:line="240" w:lineRule="auto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Although existing statutes might validate wills like the ones in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Castro </w:t>
      </w:r>
      <w:r>
        <w:rPr>
          <w:rFonts w:ascii="Times New Roman" w:eastAsia="Times New Roman" w:hAnsi="Times New Roman"/>
          <w:color w:val="000000"/>
          <w:sz w:val="24"/>
        </w:rPr>
        <w:t xml:space="preserve">and </w:t>
      </w:r>
      <w:r>
        <w:rPr>
          <w:rFonts w:ascii="Times New Roman" w:eastAsia="Times New Roman" w:hAnsi="Times New Roman"/>
          <w:i/>
          <w:color w:val="000000"/>
          <w:sz w:val="24"/>
        </w:rPr>
        <w:t>Taylor</w:t>
      </w:r>
      <w:r w:rsidR="001A5CA8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litigation may be necessary to resolve the question of validity. Further, the results will be</w:t>
      </w:r>
      <w:r w:rsidR="001A5CA8">
        <w:rPr>
          <w:rFonts w:eastAsia="Times New Roman"/>
          <w:color w:val="000000"/>
          <w:spacing w:val="-1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haphazard if no clear policy exists. States that have adopted harmless error could use that rule t</w:t>
      </w:r>
      <w:r w:rsidR="001A5CA8">
        <w:rPr>
          <w:rFonts w:ascii="Times New Roman" w:eastAsia="Times New Roman" w:hAnsi="Times New Roman"/>
          <w:color w:val="000000"/>
          <w:sz w:val="24"/>
        </w:rPr>
        <w:t xml:space="preserve">o </w:t>
      </w:r>
      <w:r>
        <w:rPr>
          <w:rFonts w:ascii="Times New Roman" w:eastAsia="Times New Roman" w:hAnsi="Times New Roman"/>
          <w:color w:val="000000"/>
          <w:sz w:val="24"/>
        </w:rPr>
        <w:t xml:space="preserve">validate an electronic will, as the court did in </w:t>
      </w:r>
      <w:r>
        <w:rPr>
          <w:rFonts w:ascii="Times New Roman" w:eastAsia="Times New Roman" w:hAnsi="Times New Roman"/>
          <w:i/>
          <w:color w:val="000000"/>
          <w:sz w:val="24"/>
        </w:rPr>
        <w:t>In re Horton</w:t>
      </w:r>
      <w:r>
        <w:rPr>
          <w:rFonts w:ascii="Times New Roman" w:eastAsia="Times New Roman" w:hAnsi="Times New Roman"/>
          <w:color w:val="000000"/>
          <w:sz w:val="24"/>
        </w:rPr>
        <w:t>. However, harmless error requires a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judicial decision based on clear and convincing evidence, so relying on harmless error could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increase costs for parties and courts. Further, in the United States, only 11 states have enacted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harmless error statutes. In a state that has not adopted a harmless error statute, a court might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</w:rPr>
        <w:t>adopt the doctrine judicially or might use the doctrine of substantial compliance to validate a wil</w:t>
      </w:r>
      <w:r w:rsidR="001A5CA8">
        <w:rPr>
          <w:rFonts w:ascii="Times New Roman" w:eastAsia="Times New Roman" w:hAnsi="Times New Roman"/>
          <w:color w:val="000000"/>
          <w:spacing w:val="-1"/>
          <w:sz w:val="24"/>
        </w:rPr>
        <w:t xml:space="preserve">l </w:t>
      </w:r>
      <w:r>
        <w:rPr>
          <w:rFonts w:ascii="Times New Roman" w:eastAsia="Times New Roman" w:hAnsi="Times New Roman"/>
          <w:color w:val="000000"/>
          <w:spacing w:val="-1"/>
          <w:sz w:val="24"/>
        </w:rPr>
        <w:t xml:space="preserve">that did not comply with the execution formalities. </w:t>
      </w:r>
      <w:r>
        <w:rPr>
          <w:rFonts w:ascii="Times New Roman" w:eastAsia="Times New Roman" w:hAnsi="Times New Roman"/>
          <w:i/>
          <w:color w:val="000000"/>
          <w:spacing w:val="-1"/>
          <w:sz w:val="24"/>
        </w:rPr>
        <w:t>See, e.g.</w:t>
      </w:r>
      <w:r>
        <w:rPr>
          <w:rFonts w:ascii="Times New Roman" w:eastAsia="Times New Roman" w:hAnsi="Times New Roman"/>
          <w:color w:val="000000"/>
          <w:spacing w:val="-1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pacing w:val="-1"/>
          <w:sz w:val="24"/>
        </w:rPr>
        <w:t xml:space="preserve">In re Will of Ranney, </w:t>
      </w:r>
      <w:r>
        <w:rPr>
          <w:rFonts w:ascii="Times New Roman" w:eastAsia="Times New Roman" w:hAnsi="Times New Roman"/>
          <w:color w:val="000000"/>
          <w:spacing w:val="-1"/>
          <w:sz w:val="24"/>
        </w:rPr>
        <w:t>589 A.2d 1339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</w:rPr>
        <w:t>(N.J. 1991) (decided prior to New Jersey’s adoption of a harmless error statute.) However, courts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are reluctant to adopt exceptions to statutory execution formalities. </w:t>
      </w:r>
      <w:r>
        <w:rPr>
          <w:rFonts w:ascii="Times New Roman" w:eastAsia="Times New Roman" w:hAnsi="Times New Roman"/>
          <w:i/>
          <w:color w:val="000000"/>
          <w:sz w:val="24"/>
        </w:rPr>
        <w:t>See, e.g</w:t>
      </w:r>
      <w:r>
        <w:rPr>
          <w:rFonts w:ascii="Times New Roman" w:eastAsia="Times New Roman" w:hAnsi="Times New Roman"/>
          <w:color w:val="000000"/>
          <w:sz w:val="24"/>
        </w:rPr>
        <w:t xml:space="preserve">., </w:t>
      </w:r>
      <w:r>
        <w:rPr>
          <w:rFonts w:ascii="Times New Roman" w:eastAsia="Times New Roman" w:hAnsi="Times New Roman"/>
          <w:i/>
          <w:color w:val="000000"/>
          <w:sz w:val="24"/>
        </w:rPr>
        <w:t>Litevich v. Probat</w:t>
      </w:r>
      <w:r w:rsidR="001A5CA8">
        <w:rPr>
          <w:rFonts w:ascii="Times New Roman" w:eastAsia="Times New Roman" w:hAnsi="Times New Roman"/>
          <w:i/>
          <w:color w:val="000000"/>
          <w:sz w:val="24"/>
        </w:rPr>
        <w:t xml:space="preserve">e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Court, Dist. Of West Haven, </w:t>
      </w:r>
      <w:r>
        <w:rPr>
          <w:rFonts w:ascii="Times New Roman" w:eastAsia="Times New Roman" w:hAnsi="Times New Roman"/>
          <w:color w:val="000000"/>
          <w:sz w:val="24"/>
        </w:rPr>
        <w:t xml:space="preserve">2013 WL 2945055 (Sup. Ct. Conn. 2013); </w:t>
      </w:r>
      <w:r>
        <w:rPr>
          <w:rFonts w:ascii="Times New Roman" w:eastAsia="Times New Roman" w:hAnsi="Times New Roman"/>
          <w:i/>
          <w:color w:val="000000"/>
          <w:sz w:val="24"/>
        </w:rPr>
        <w:t>Davis v. Davis-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Henriques</w:t>
      </w:r>
      <w:r>
        <w:rPr>
          <w:rFonts w:ascii="Times New Roman" w:eastAsia="Times New Roman" w:hAnsi="Times New Roman"/>
          <w:color w:val="000000"/>
          <w:sz w:val="24"/>
        </w:rPr>
        <w:t>, 135 A.3d 1247 (Conn. App. 2016) (rejecting arguments that the court apply harmless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error). As more people turn to electronic devices to conduct personal business, statutory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guidance on execution of electronic wills can streamline the process of validating those wills.</w:t>
      </w:r>
    </w:p>
    <w:p w14:paraId="1330D68F" w14:textId="4FA8E1FE" w:rsidR="00C53877" w:rsidRPr="001A5CA8" w:rsidRDefault="00C53877" w:rsidP="001A5CA8">
      <w:pPr>
        <w:spacing w:line="240" w:lineRule="auto"/>
        <w:ind w:left="72" w:firstLine="648"/>
        <w:textAlignment w:val="baseline"/>
        <w:rPr>
          <w:rFonts w:eastAsia="Times New Roman"/>
          <w:color w:val="000000"/>
          <w:spacing w:val="-14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Goals of the Act. </w:t>
      </w:r>
      <w:r>
        <w:rPr>
          <w:rFonts w:ascii="Times New Roman" w:eastAsia="Times New Roman" w:hAnsi="Times New Roman"/>
          <w:color w:val="000000"/>
          <w:sz w:val="24"/>
        </w:rPr>
        <w:t>Estate planning lawyers, notaries, and software providers are among</w:t>
      </w:r>
      <w:r w:rsidR="001A5CA8">
        <w:rPr>
          <w:rFonts w:eastAsia="Times New Roman"/>
          <w:color w:val="000000"/>
          <w:spacing w:val="-14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those interested in electronic wills. As of 2019, state legislatures in Arizona, California, the</w:t>
      </w:r>
      <w:r w:rsidR="001A5CA8">
        <w:rPr>
          <w:rFonts w:eastAsia="Times New Roman"/>
          <w:color w:val="000000"/>
          <w:spacing w:val="-14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District of Columbia, Florida, Indiana, New Hampshire, Texas, and Virginia have considered</w:t>
      </w:r>
      <w:r w:rsidR="001A5CA8">
        <w:rPr>
          <w:rFonts w:eastAsia="Times New Roman"/>
          <w:color w:val="000000"/>
          <w:spacing w:val="-14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bills authorizing electronic execution of wills. Arizona, Indiana, and Florida have adopted ne</w:t>
      </w:r>
      <w:r w:rsidR="001A5CA8">
        <w:rPr>
          <w:rFonts w:ascii="Times New Roman" w:eastAsia="Times New Roman" w:hAnsi="Times New Roman"/>
          <w:color w:val="000000"/>
          <w:sz w:val="24"/>
        </w:rPr>
        <w:t xml:space="preserve">w </w:t>
      </w:r>
      <w:r>
        <w:rPr>
          <w:rFonts w:ascii="Times New Roman" w:eastAsia="Times New Roman" w:hAnsi="Times New Roman"/>
          <w:color w:val="000000"/>
          <w:sz w:val="24"/>
        </w:rPr>
        <w:t>electronic wills legislation, and Nevada has revised its existing electronic wills statute.</w:t>
      </w:r>
    </w:p>
    <w:p w14:paraId="0FA6F619" w14:textId="1ADAEC76" w:rsidR="00C53877" w:rsidRPr="001A5CA8" w:rsidRDefault="00C53877" w:rsidP="001A5CA8">
      <w:pPr>
        <w:tabs>
          <w:tab w:val="right" w:pos="288"/>
          <w:tab w:val="left" w:pos="720"/>
          <w:tab w:val="left" w:pos="1368"/>
        </w:tabs>
        <w:spacing w:before="2" w:line="240" w:lineRule="auto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ab/>
      </w:r>
      <w:r w:rsidR="001A5CA8"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>Given the flurry of activity around this issue, the Uniform Law Commission becam</w:t>
      </w:r>
      <w:r w:rsidR="001A5CA8">
        <w:rPr>
          <w:rFonts w:ascii="Times New Roman" w:eastAsia="Times New Roman" w:hAnsi="Times New Roman"/>
          <w:color w:val="000000"/>
          <w:sz w:val="24"/>
        </w:rPr>
        <w:t xml:space="preserve">e </w:t>
      </w:r>
      <w:r>
        <w:rPr>
          <w:rFonts w:ascii="Times New Roman" w:eastAsia="Times New Roman" w:hAnsi="Times New Roman"/>
          <w:color w:val="000000"/>
          <w:sz w:val="24"/>
        </w:rPr>
        <w:t>concerned that inconsistency will follow if states modify their will execution statutes withou</w:t>
      </w:r>
      <w:r w:rsidR="001A5CA8">
        <w:rPr>
          <w:rFonts w:ascii="Times New Roman" w:eastAsia="Times New Roman" w:hAnsi="Times New Roman"/>
          <w:color w:val="000000"/>
          <w:sz w:val="24"/>
        </w:rPr>
        <w:t xml:space="preserve">t </w:t>
      </w:r>
      <w:r>
        <w:rPr>
          <w:rFonts w:ascii="Times New Roman" w:eastAsia="Times New Roman" w:hAnsi="Times New Roman"/>
          <w:color w:val="000000"/>
          <w:sz w:val="24"/>
        </w:rPr>
        <w:t>uniformity. The mobile population in the United States makes interstate recognition of will</w:t>
      </w:r>
      <w:r w:rsidR="001A5CA8">
        <w:rPr>
          <w:rFonts w:ascii="Times New Roman" w:eastAsia="Times New Roman" w:hAnsi="Times New Roman"/>
          <w:color w:val="000000"/>
          <w:sz w:val="24"/>
        </w:rPr>
        <w:t xml:space="preserve">s </w:t>
      </w:r>
      <w:r>
        <w:rPr>
          <w:rFonts w:ascii="Times New Roman" w:eastAsia="Times New Roman" w:hAnsi="Times New Roman"/>
          <w:color w:val="000000"/>
          <w:sz w:val="24"/>
        </w:rPr>
        <w:t>important, and if statutes are not uniform, that recognition will be a significant issue. The Act</w:t>
      </w:r>
      <w:r w:rsidR="001A5CA8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seeks:</w:t>
      </w:r>
    </w:p>
    <w:p w14:paraId="7BBF2CF5" w14:textId="5F1FBDC8" w:rsidR="00C53877" w:rsidRPr="001A5CA8" w:rsidRDefault="00C53877" w:rsidP="001A5CA8">
      <w:pPr>
        <w:pStyle w:val="ListParagraph"/>
        <w:numPr>
          <w:ilvl w:val="0"/>
          <w:numId w:val="24"/>
        </w:numPr>
        <w:tabs>
          <w:tab w:val="right" w:pos="288"/>
          <w:tab w:val="left" w:pos="1008"/>
        </w:tabs>
        <w:spacing w:before="17" w:line="240" w:lineRule="auto"/>
        <w:textAlignment w:val="baseline"/>
        <w:rPr>
          <w:rFonts w:eastAsia="Times New Roman"/>
          <w:color w:val="000000"/>
          <w:sz w:val="24"/>
        </w:rPr>
      </w:pPr>
      <w:r w:rsidRPr="001A5CA8">
        <w:rPr>
          <w:rFonts w:ascii="Times New Roman" w:eastAsia="Times New Roman" w:hAnsi="Times New Roman"/>
          <w:color w:val="000000"/>
          <w:sz w:val="24"/>
        </w:rPr>
        <w:t>To allow a testator to execute a will electronically, while maintaining protections for the</w:t>
      </w:r>
      <w:r w:rsidR="001F6B51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1A5CA8">
        <w:rPr>
          <w:rFonts w:ascii="Times New Roman" w:eastAsia="Times New Roman" w:hAnsi="Times New Roman"/>
          <w:color w:val="000000"/>
          <w:sz w:val="24"/>
        </w:rPr>
        <w:t>testator that wills law provides for wills executed on something tangible (usually paper);</w:t>
      </w:r>
    </w:p>
    <w:p w14:paraId="03088933" w14:textId="77777777" w:rsidR="001A5CA8" w:rsidRPr="001A5CA8" w:rsidRDefault="00C53877" w:rsidP="001A5CA8">
      <w:pPr>
        <w:pStyle w:val="ListParagraph"/>
        <w:numPr>
          <w:ilvl w:val="0"/>
          <w:numId w:val="24"/>
        </w:numPr>
        <w:tabs>
          <w:tab w:val="right" w:pos="288"/>
          <w:tab w:val="left" w:pos="1008"/>
        </w:tabs>
        <w:spacing w:before="17" w:line="240" w:lineRule="auto"/>
        <w:textAlignment w:val="baseline"/>
        <w:rPr>
          <w:rFonts w:eastAsia="Times New Roman"/>
          <w:color w:val="000000"/>
          <w:sz w:val="24"/>
        </w:rPr>
      </w:pPr>
      <w:r w:rsidRPr="001A5CA8">
        <w:rPr>
          <w:rFonts w:ascii="Times New Roman" w:eastAsia="Times New Roman" w:hAnsi="Times New Roman"/>
          <w:color w:val="000000"/>
          <w:sz w:val="24"/>
        </w:rPr>
        <w:t>To create execution requirements that, if followed, will result in a valid will without a</w:t>
      </w:r>
      <w:r w:rsidR="001A5CA8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1A5CA8">
        <w:rPr>
          <w:rFonts w:ascii="Times New Roman" w:eastAsia="Times New Roman" w:hAnsi="Times New Roman"/>
          <w:color w:val="000000"/>
          <w:sz w:val="24"/>
        </w:rPr>
        <w:t>court hearing to determine validity, if no one contests the will; and</w:t>
      </w:r>
    </w:p>
    <w:p w14:paraId="1589CF41" w14:textId="77777777" w:rsidR="001A5CA8" w:rsidRPr="001A5CA8" w:rsidRDefault="00C53877" w:rsidP="001A5CA8">
      <w:pPr>
        <w:pStyle w:val="ListParagraph"/>
        <w:numPr>
          <w:ilvl w:val="0"/>
          <w:numId w:val="24"/>
        </w:numPr>
        <w:tabs>
          <w:tab w:val="right" w:pos="288"/>
          <w:tab w:val="left" w:pos="1008"/>
        </w:tabs>
        <w:spacing w:before="17" w:line="240" w:lineRule="auto"/>
        <w:textAlignment w:val="baseline"/>
        <w:rPr>
          <w:rFonts w:eastAsia="Times New Roman"/>
          <w:color w:val="000000"/>
          <w:sz w:val="24"/>
        </w:rPr>
      </w:pPr>
      <w:r w:rsidRPr="001A5CA8">
        <w:rPr>
          <w:rFonts w:ascii="Times New Roman" w:eastAsia="Times New Roman" w:hAnsi="Times New Roman"/>
          <w:color w:val="000000"/>
          <w:sz w:val="24"/>
        </w:rPr>
        <w:t>To develop a process that would not enshrine a particular business model in the statutes.</w:t>
      </w:r>
      <w:r w:rsidR="001A5CA8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14:paraId="0E7518ED" w14:textId="38741605" w:rsidR="00C53877" w:rsidRDefault="001A5CA8" w:rsidP="00AF1C10">
      <w:pPr>
        <w:tabs>
          <w:tab w:val="right" w:pos="288"/>
          <w:tab w:val="left" w:pos="1008"/>
        </w:tabs>
        <w:spacing w:before="17" w:line="240" w:lineRule="auto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 w:rsidR="00C53877" w:rsidRPr="001A5CA8">
        <w:rPr>
          <w:rFonts w:ascii="Times New Roman" w:eastAsia="Times New Roman" w:hAnsi="Times New Roman"/>
          <w:color w:val="000000"/>
          <w:sz w:val="24"/>
        </w:rPr>
        <w:t>The act invokes the four functions served by will formalities, as described in John H</w:t>
      </w:r>
      <w:r>
        <w:rPr>
          <w:rFonts w:ascii="Times New Roman" w:eastAsia="Times New Roman" w:hAnsi="Times New Roman"/>
          <w:color w:val="000000"/>
          <w:sz w:val="24"/>
        </w:rPr>
        <w:t xml:space="preserve">. </w:t>
      </w:r>
      <w:r w:rsidR="00C53877">
        <w:rPr>
          <w:rFonts w:ascii="Times New Roman" w:eastAsia="Times New Roman" w:hAnsi="Times New Roman"/>
          <w:color w:val="000000"/>
          <w:sz w:val="24"/>
        </w:rPr>
        <w:t xml:space="preserve">Langbein, </w:t>
      </w:r>
      <w:r w:rsidR="00C53877">
        <w:rPr>
          <w:rFonts w:ascii="Times New Roman" w:eastAsia="Times New Roman" w:hAnsi="Times New Roman"/>
          <w:i/>
          <w:color w:val="000000"/>
          <w:sz w:val="24"/>
        </w:rPr>
        <w:t>Substantial Compliance with the Wills Act</w:t>
      </w:r>
      <w:r w:rsidR="00C53877">
        <w:rPr>
          <w:rFonts w:ascii="Times New Roman" w:eastAsia="Times New Roman" w:hAnsi="Times New Roman"/>
          <w:color w:val="000000"/>
          <w:sz w:val="24"/>
        </w:rPr>
        <w:t>, 88 H</w:t>
      </w:r>
      <w:r w:rsidR="00C53877">
        <w:rPr>
          <w:rFonts w:ascii="Times New Roman" w:eastAsia="Times New Roman" w:hAnsi="Times New Roman"/>
          <w:color w:val="000000"/>
          <w:sz w:val="19"/>
        </w:rPr>
        <w:t>ARV</w:t>
      </w:r>
      <w:r w:rsidR="00C53877">
        <w:rPr>
          <w:rFonts w:ascii="Times New Roman" w:eastAsia="Times New Roman" w:hAnsi="Times New Roman"/>
          <w:color w:val="000000"/>
          <w:sz w:val="24"/>
        </w:rPr>
        <w:t>. L. R</w:t>
      </w:r>
      <w:r w:rsidR="00C53877">
        <w:rPr>
          <w:rFonts w:ascii="Times New Roman" w:eastAsia="Times New Roman" w:hAnsi="Times New Roman"/>
          <w:color w:val="000000"/>
          <w:sz w:val="19"/>
        </w:rPr>
        <w:t>EV</w:t>
      </w:r>
      <w:r w:rsidR="00C53877">
        <w:rPr>
          <w:rFonts w:ascii="Times New Roman" w:eastAsia="Times New Roman" w:hAnsi="Times New Roman"/>
          <w:color w:val="000000"/>
          <w:sz w:val="24"/>
        </w:rPr>
        <w:t>. 489 (1975) (citing Lon</w:t>
      </w:r>
      <w:r>
        <w:rPr>
          <w:rFonts w:eastAsia="Times New Roman"/>
          <w:color w:val="000000"/>
          <w:sz w:val="24"/>
        </w:rPr>
        <w:t xml:space="preserve"> </w:t>
      </w:r>
      <w:r w:rsidR="00C53877">
        <w:rPr>
          <w:rFonts w:ascii="Times New Roman" w:eastAsia="Times New Roman" w:hAnsi="Times New Roman"/>
          <w:color w:val="000000"/>
          <w:sz w:val="24"/>
        </w:rPr>
        <w:t xml:space="preserve">Fuller, </w:t>
      </w:r>
      <w:r w:rsidR="00C53877">
        <w:rPr>
          <w:rFonts w:ascii="Times New Roman" w:eastAsia="Times New Roman" w:hAnsi="Times New Roman"/>
          <w:i/>
          <w:color w:val="000000"/>
          <w:sz w:val="24"/>
        </w:rPr>
        <w:t xml:space="preserve">Consideration and Form, </w:t>
      </w:r>
      <w:r w:rsidR="00C53877">
        <w:rPr>
          <w:rFonts w:ascii="Times New Roman" w:eastAsia="Times New Roman" w:hAnsi="Times New Roman"/>
          <w:color w:val="000000"/>
          <w:sz w:val="24"/>
        </w:rPr>
        <w:t>41 C</w:t>
      </w:r>
      <w:r w:rsidR="00C53877">
        <w:rPr>
          <w:rFonts w:ascii="Times New Roman" w:eastAsia="Times New Roman" w:hAnsi="Times New Roman"/>
          <w:color w:val="000000"/>
          <w:sz w:val="19"/>
        </w:rPr>
        <w:t>OL</w:t>
      </w:r>
      <w:r w:rsidR="00C53877">
        <w:rPr>
          <w:rFonts w:ascii="Times New Roman" w:eastAsia="Times New Roman" w:hAnsi="Times New Roman"/>
          <w:color w:val="000000"/>
          <w:sz w:val="24"/>
        </w:rPr>
        <w:t>. L. R</w:t>
      </w:r>
      <w:r w:rsidR="00C53877">
        <w:rPr>
          <w:rFonts w:ascii="Times New Roman" w:eastAsia="Times New Roman" w:hAnsi="Times New Roman"/>
          <w:color w:val="000000"/>
          <w:sz w:val="19"/>
        </w:rPr>
        <w:t>EV</w:t>
      </w:r>
      <w:r w:rsidR="00C53877">
        <w:rPr>
          <w:rFonts w:ascii="Times New Roman" w:eastAsia="Times New Roman" w:hAnsi="Times New Roman"/>
          <w:color w:val="000000"/>
          <w:sz w:val="24"/>
        </w:rPr>
        <w:t>. 799 (1941), which discussed the channeling</w:t>
      </w:r>
      <w:r>
        <w:rPr>
          <w:rFonts w:eastAsia="Times New Roman"/>
          <w:color w:val="000000"/>
          <w:sz w:val="24"/>
        </w:rPr>
        <w:t xml:space="preserve"> </w:t>
      </w:r>
      <w:r w:rsidR="00C53877">
        <w:rPr>
          <w:rFonts w:ascii="Times New Roman" w:eastAsia="Times New Roman" w:hAnsi="Times New Roman"/>
          <w:color w:val="000000"/>
          <w:sz w:val="24"/>
        </w:rPr>
        <w:t>function in connection with contract law, and Ashbel G. Gulliver &amp; Catherine J. Tilson,</w:t>
      </w:r>
      <w:r w:rsidR="00AF1C10">
        <w:rPr>
          <w:rFonts w:eastAsia="Times New Roman"/>
          <w:color w:val="000000"/>
          <w:sz w:val="24"/>
        </w:rPr>
        <w:t xml:space="preserve"> </w:t>
      </w:r>
      <w:r w:rsidR="00C53877">
        <w:rPr>
          <w:rFonts w:ascii="Times New Roman" w:eastAsia="Times New Roman" w:hAnsi="Times New Roman"/>
          <w:i/>
          <w:color w:val="000000"/>
          <w:sz w:val="24"/>
        </w:rPr>
        <w:t>Classification of Gratuitous Transfers</w:t>
      </w:r>
      <w:r w:rsidR="00C53877">
        <w:rPr>
          <w:rFonts w:ascii="Times New Roman" w:eastAsia="Times New Roman" w:hAnsi="Times New Roman"/>
          <w:color w:val="000000"/>
          <w:sz w:val="24"/>
        </w:rPr>
        <w:t>, 51 Y</w:t>
      </w:r>
      <w:r w:rsidR="00C53877">
        <w:rPr>
          <w:rFonts w:ascii="Times New Roman" w:eastAsia="Times New Roman" w:hAnsi="Times New Roman"/>
          <w:color w:val="000000"/>
          <w:sz w:val="19"/>
        </w:rPr>
        <w:t xml:space="preserve">ALE </w:t>
      </w:r>
      <w:r w:rsidR="00C53877">
        <w:rPr>
          <w:rFonts w:ascii="Times New Roman" w:eastAsia="Times New Roman" w:hAnsi="Times New Roman"/>
          <w:color w:val="000000"/>
          <w:sz w:val="24"/>
        </w:rPr>
        <w:t>L.J. 1, 5-13 (1941), which identified the other</w:t>
      </w:r>
      <w:r w:rsidR="00AF1C10">
        <w:rPr>
          <w:rFonts w:eastAsia="Times New Roman"/>
          <w:color w:val="000000"/>
          <w:sz w:val="24"/>
        </w:rPr>
        <w:t xml:space="preserve"> </w:t>
      </w:r>
      <w:r w:rsidR="00C53877">
        <w:rPr>
          <w:rFonts w:ascii="Times New Roman" w:eastAsia="Times New Roman" w:hAnsi="Times New Roman"/>
          <w:color w:val="000000"/>
          <w:sz w:val="24"/>
        </w:rPr>
        <w:t>functions). Those four functions are:</w:t>
      </w:r>
    </w:p>
    <w:p w14:paraId="46C98015" w14:textId="77777777" w:rsidR="00AF1C10" w:rsidRPr="00AF1C10" w:rsidRDefault="00C53877" w:rsidP="00AF1C10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/>
          <w:color w:val="000000"/>
          <w:spacing w:val="-7"/>
          <w:sz w:val="24"/>
        </w:rPr>
      </w:pPr>
      <w:r w:rsidRPr="00AF1C10">
        <w:rPr>
          <w:rFonts w:ascii="Times New Roman" w:eastAsia="Times New Roman" w:hAnsi="Times New Roman"/>
          <w:color w:val="000000"/>
          <w:sz w:val="24"/>
        </w:rPr>
        <w:t>Evidentiary – the will provides permanent reliable evidence of the testator’s intent.</w:t>
      </w:r>
    </w:p>
    <w:p w14:paraId="10848869" w14:textId="77777777" w:rsidR="00AF1C10" w:rsidRPr="00AF1C10" w:rsidRDefault="00C53877" w:rsidP="00AF1C10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/>
          <w:color w:val="000000"/>
          <w:spacing w:val="-7"/>
          <w:sz w:val="24"/>
        </w:rPr>
      </w:pPr>
      <w:r w:rsidRPr="00AF1C10">
        <w:rPr>
          <w:rFonts w:ascii="Times New Roman" w:eastAsia="Times New Roman" w:hAnsi="Times New Roman"/>
          <w:color w:val="000000"/>
          <w:sz w:val="24"/>
        </w:rPr>
        <w:t>Channeling – the testator’s intent is expressed in a way that is understood by those</w:t>
      </w:r>
      <w:r w:rsidR="00AF1C1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F1C10">
        <w:rPr>
          <w:rFonts w:ascii="Times New Roman" w:eastAsia="Times New Roman" w:hAnsi="Times New Roman"/>
          <w:color w:val="000000"/>
          <w:sz w:val="24"/>
        </w:rPr>
        <w:t>who will interpret it so that the courts and personal representatives can process the</w:t>
      </w:r>
      <w:r w:rsidR="00AF1C1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F1C10">
        <w:rPr>
          <w:rFonts w:ascii="Times New Roman" w:eastAsia="Times New Roman" w:hAnsi="Times New Roman"/>
          <w:color w:val="000000"/>
          <w:sz w:val="24"/>
        </w:rPr>
        <w:t>will efficiently and without litigation.</w:t>
      </w:r>
    </w:p>
    <w:p w14:paraId="31786CDE" w14:textId="77777777" w:rsidR="00AF1C10" w:rsidRPr="00AF1C10" w:rsidRDefault="00C53877" w:rsidP="00AF1C10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/>
          <w:color w:val="000000"/>
          <w:spacing w:val="-7"/>
          <w:sz w:val="24"/>
        </w:rPr>
      </w:pPr>
      <w:r w:rsidRPr="00AF1C10">
        <w:rPr>
          <w:rFonts w:ascii="Times New Roman" w:eastAsia="Times New Roman" w:hAnsi="Times New Roman"/>
          <w:color w:val="000000"/>
          <w:sz w:val="24"/>
        </w:rPr>
        <w:t>Ritual (cautionary) – the testator has a serious intent to dispose of property in the way</w:t>
      </w:r>
      <w:r w:rsidR="00AF1C1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F1C10">
        <w:rPr>
          <w:rFonts w:ascii="Times New Roman" w:eastAsia="Times New Roman" w:hAnsi="Times New Roman"/>
          <w:color w:val="000000"/>
          <w:sz w:val="24"/>
        </w:rPr>
        <w:t>indicated and the document is final and not a draft.</w:t>
      </w:r>
    </w:p>
    <w:p w14:paraId="4A216568" w14:textId="77777777" w:rsidR="00AF1C10" w:rsidRPr="00AF1C10" w:rsidRDefault="00C53877" w:rsidP="00AF1C10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/>
          <w:color w:val="000000"/>
          <w:sz w:val="24"/>
        </w:rPr>
      </w:pPr>
      <w:r w:rsidRPr="00AF1C10">
        <w:rPr>
          <w:rFonts w:ascii="Times New Roman" w:eastAsia="Times New Roman" w:hAnsi="Times New Roman"/>
          <w:color w:val="000000"/>
          <w:sz w:val="24"/>
        </w:rPr>
        <w:t>Protective – the testator has capacity and is protected from undue influence, fraud,</w:t>
      </w:r>
      <w:r w:rsidR="00AF1C1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F1C10">
        <w:rPr>
          <w:rFonts w:ascii="Times New Roman" w:eastAsia="Times New Roman" w:hAnsi="Times New Roman"/>
          <w:color w:val="000000"/>
          <w:sz w:val="24"/>
        </w:rPr>
        <w:t>delusion and coercion. The documents are not the product of forgery or perjury.</w:t>
      </w:r>
      <w:r>
        <w:rPr>
          <w:rFonts w:ascii="Times New Roman" w:eastAsia="Times New Roman" w:hAnsi="Times New Roman"/>
          <w:color w:val="000000"/>
          <w:sz w:val="24"/>
        </w:rPr>
        <w:tab/>
      </w:r>
    </w:p>
    <w:p w14:paraId="621E580E" w14:textId="77777777" w:rsidR="00AF1C10" w:rsidRPr="00AF1C10" w:rsidRDefault="00AF1C10" w:rsidP="0021334E">
      <w:pPr>
        <w:pStyle w:val="ListParagraph"/>
        <w:spacing w:line="240" w:lineRule="auto"/>
        <w:ind w:left="792"/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</w:p>
    <w:p w14:paraId="413912E3" w14:textId="52EABA10" w:rsidR="00C53877" w:rsidRDefault="00C53877" w:rsidP="00AF1C10">
      <w:pPr>
        <w:spacing w:line="240" w:lineRule="auto"/>
        <w:textAlignment w:val="baseline"/>
        <w:rPr>
          <w:rFonts w:eastAsia="Times New Roman"/>
          <w:color w:val="000000"/>
          <w:sz w:val="24"/>
        </w:rPr>
      </w:pPr>
      <w:r w:rsidRPr="00AF1C10">
        <w:rPr>
          <w:rFonts w:ascii="Times New Roman" w:eastAsia="Times New Roman" w:hAnsi="Times New Roman"/>
          <w:color w:val="000000"/>
          <w:sz w:val="24"/>
        </w:rPr>
        <w:tab/>
      </w:r>
      <w:r w:rsidRPr="00AF1C10">
        <w:rPr>
          <w:rFonts w:ascii="Times New Roman" w:eastAsia="Times New Roman" w:hAnsi="Times New Roman"/>
          <w:b/>
          <w:color w:val="000000"/>
          <w:sz w:val="24"/>
        </w:rPr>
        <w:t xml:space="preserve">Electronic Execution of Estate Planning Documents. </w:t>
      </w:r>
      <w:r w:rsidRPr="00AF1C10">
        <w:rPr>
          <w:rFonts w:ascii="Times New Roman" w:eastAsia="Times New Roman" w:hAnsi="Times New Roman"/>
          <w:color w:val="000000"/>
          <w:sz w:val="24"/>
        </w:rPr>
        <w:t>In bilateral commercial</w:t>
      </w:r>
      <w:r w:rsidR="00AF1C10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transactions, the Uniform Electronic Transactions Act (1999) (UETA) validates the use of</w:t>
      </w:r>
      <w:r w:rsidR="00AF1C10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electronic signatures. UETA§ 7(a). However, UETA is inapplicable to wills and testamentary</w:t>
      </w:r>
      <w:r w:rsidR="00AF1C10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trusts, making this act necessary if a legislature wants to permit electronic wills. UETA§ 3(b)</w:t>
      </w:r>
      <w:r w:rsidR="00AF1C10">
        <w:rPr>
          <w:rFonts w:ascii="Times New Roman" w:eastAsia="Times New Roman" w:hAnsi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Since UETA applies to other estate planning documents, such as inter vivos trusts and powers of</w:t>
      </w:r>
      <w:r w:rsidR="00AF1C10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attorney, this act does not cover them. As of 2019, all but three states have adopted UETA, with</w:t>
      </w:r>
      <w:r w:rsidR="00AF1C10">
        <w:rPr>
          <w:rFonts w:eastAsia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most of the enactments occurring in 2000 and 2001.</w:t>
      </w:r>
    </w:p>
    <w:p w14:paraId="036AE953" w14:textId="7A3AC7A7" w:rsidR="00C53877" w:rsidRDefault="00AF1C10" w:rsidP="00AF1C10">
      <w:pPr>
        <w:tabs>
          <w:tab w:val="right" w:pos="288"/>
          <w:tab w:val="left" w:pos="720"/>
          <w:tab w:val="left" w:pos="1368"/>
        </w:tabs>
        <w:spacing w:line="240" w:lineRule="auto"/>
        <w:ind w:lef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 w:rsidR="00C53877">
        <w:rPr>
          <w:rFonts w:ascii="Times New Roman" w:eastAsia="Times New Roman" w:hAnsi="Times New Roman"/>
          <w:color w:val="000000"/>
          <w:sz w:val="24"/>
        </w:rPr>
        <w:t>Many nonprobate documents are executed electronically, and property owners have</w:t>
      </w:r>
      <w:r>
        <w:rPr>
          <w:rFonts w:eastAsia="Times New Roman"/>
          <w:color w:val="000000"/>
          <w:sz w:val="24"/>
        </w:rPr>
        <w:t xml:space="preserve"> </w:t>
      </w:r>
      <w:r w:rsidR="00C53877">
        <w:rPr>
          <w:rFonts w:ascii="Times New Roman" w:eastAsia="Times New Roman" w:hAnsi="Times New Roman"/>
          <w:color w:val="000000"/>
          <w:sz w:val="24"/>
        </w:rPr>
        <w:t>become accustomed to being able to use electronic beneficiary designations in connection with</w:t>
      </w:r>
      <w:r>
        <w:rPr>
          <w:rFonts w:eastAsia="Times New Roman"/>
          <w:color w:val="000000"/>
          <w:sz w:val="24"/>
        </w:rPr>
        <w:t xml:space="preserve"> </w:t>
      </w:r>
      <w:r w:rsidR="00C53877">
        <w:rPr>
          <w:rFonts w:ascii="Times New Roman" w:eastAsia="Times New Roman" w:hAnsi="Times New Roman"/>
          <w:color w:val="000000"/>
          <w:sz w:val="24"/>
        </w:rPr>
        <w:t>various will substitutes. The idea of permitting an electronic designation to control the transfer of</w:t>
      </w:r>
      <w:r>
        <w:rPr>
          <w:rFonts w:eastAsia="Times New Roman"/>
          <w:color w:val="000000"/>
          <w:sz w:val="24"/>
        </w:rPr>
        <w:t xml:space="preserve"> </w:t>
      </w:r>
      <w:r w:rsidR="00C53877">
        <w:rPr>
          <w:rFonts w:ascii="Times New Roman" w:eastAsia="Times New Roman" w:hAnsi="Times New Roman"/>
          <w:color w:val="000000"/>
          <w:sz w:val="24"/>
        </w:rPr>
        <w:t>property at death is already well accepted. Many property owners expect to be able to use</w:t>
      </w:r>
      <w:r>
        <w:rPr>
          <w:rFonts w:ascii="Times New Roman" w:eastAsia="Times New Roman" w:hAnsi="Times New Roman"/>
          <w:color w:val="000000"/>
          <w:sz w:val="24"/>
        </w:rPr>
        <w:t xml:space="preserve"> electronic tools to manage distributions at death.</w:t>
      </w:r>
    </w:p>
    <w:sectPr w:rsidR="00C5387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309B" w14:textId="77777777" w:rsidR="009C56AD" w:rsidRDefault="009C56AD" w:rsidP="009C56AD">
      <w:pPr>
        <w:spacing w:after="0" w:line="240" w:lineRule="auto"/>
      </w:pPr>
      <w:r>
        <w:separator/>
      </w:r>
    </w:p>
  </w:endnote>
  <w:endnote w:type="continuationSeparator" w:id="0">
    <w:p w14:paraId="394806CC" w14:textId="77777777" w:rsidR="009C56AD" w:rsidRDefault="009C56AD" w:rsidP="009C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297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7A6CA" w14:textId="7A57B000" w:rsidR="009C56AD" w:rsidRDefault="009C56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168A5" w14:textId="77777777" w:rsidR="009C56AD" w:rsidRDefault="009C5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DE02" w14:textId="77777777" w:rsidR="009C56AD" w:rsidRDefault="009C56AD" w:rsidP="009C56AD">
      <w:pPr>
        <w:spacing w:after="0" w:line="240" w:lineRule="auto"/>
      </w:pPr>
      <w:r>
        <w:separator/>
      </w:r>
    </w:p>
  </w:footnote>
  <w:footnote w:type="continuationSeparator" w:id="0">
    <w:p w14:paraId="04C58744" w14:textId="77777777" w:rsidR="009C56AD" w:rsidRDefault="009C56AD" w:rsidP="009C5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D470FA9"/>
    <w:multiLevelType w:val="hybridMultilevel"/>
    <w:tmpl w:val="2AF210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0212917"/>
    <w:multiLevelType w:val="hybridMultilevel"/>
    <w:tmpl w:val="3F46E17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4D"/>
    <w:rsid w:val="001A5CA8"/>
    <w:rsid w:val="001F6B51"/>
    <w:rsid w:val="0021334E"/>
    <w:rsid w:val="00645252"/>
    <w:rsid w:val="006D3D74"/>
    <w:rsid w:val="0083569A"/>
    <w:rsid w:val="009C56AD"/>
    <w:rsid w:val="00A9204E"/>
    <w:rsid w:val="00AF1C10"/>
    <w:rsid w:val="00B9034D"/>
    <w:rsid w:val="00BF1620"/>
    <w:rsid w:val="00C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8A51"/>
  <w15:chartTrackingRefBased/>
  <w15:docId w15:val="{9E1F4740-3D81-4BF1-AD7C-187F2F0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34D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rFonts w:eastAsiaTheme="minorHAns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rFonts w:eastAsiaTheme="minorHAns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rFonts w:eastAsiaTheme="minorHAns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rFonts w:eastAsia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rFonts w:eastAsiaTheme="minorHAns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rFonts w:eastAsiaTheme="minorHAns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rFonts w:eastAsiaTheme="minorHAnsi"/>
    </w:rPr>
  </w:style>
  <w:style w:type="table" w:styleId="TableGrid">
    <w:name w:val="Table Grid"/>
    <w:basedOn w:val="TableNormal"/>
    <w:uiPriority w:val="59"/>
    <w:rsid w:val="00B9034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A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hilla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36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Ahillas</dc:creator>
  <cp:keywords/>
  <dc:description/>
  <cp:lastModifiedBy>Joanne Ahillas</cp:lastModifiedBy>
  <cp:revision>5</cp:revision>
  <cp:lastPrinted>2019-08-27T17:21:00Z</cp:lastPrinted>
  <dcterms:created xsi:type="dcterms:W3CDTF">2019-08-27T16:22:00Z</dcterms:created>
  <dcterms:modified xsi:type="dcterms:W3CDTF">2019-08-27T17:23:00Z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